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BD" w:rsidRPr="00890ED2" w:rsidRDefault="008B4FBD" w:rsidP="00564CF3">
      <w:pPr>
        <w:ind w:firstLine="0"/>
        <w:jc w:val="center"/>
        <w:rPr>
          <w:rFonts w:ascii="Times New Roman" w:eastAsia="Calibri" w:hAnsi="Times New Roman" w:cs="Times New Roman"/>
          <w:i/>
          <w:sz w:val="28"/>
          <w:szCs w:val="28"/>
        </w:rPr>
      </w:pPr>
      <w:proofErr w:type="spellStart"/>
      <w:r w:rsidRPr="00890ED2">
        <w:rPr>
          <w:rFonts w:ascii="Times New Roman" w:eastAsia="Calibri" w:hAnsi="Times New Roman" w:cs="Times New Roman"/>
          <w:i/>
          <w:sz w:val="28"/>
          <w:szCs w:val="28"/>
        </w:rPr>
        <w:t>Example</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of</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writing</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section</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materials</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in</w:t>
      </w:r>
      <w:proofErr w:type="spellEnd"/>
      <w:r w:rsidRPr="00890ED2">
        <w:rPr>
          <w:rFonts w:ascii="Times New Roman" w:eastAsia="Calibri" w:hAnsi="Times New Roman" w:cs="Times New Roman"/>
          <w:i/>
          <w:sz w:val="28"/>
          <w:szCs w:val="28"/>
        </w:rPr>
        <w:t xml:space="preserve"> </w:t>
      </w:r>
      <w:proofErr w:type="spellStart"/>
      <w:r w:rsidRPr="00890ED2">
        <w:rPr>
          <w:rFonts w:ascii="Times New Roman" w:eastAsia="Calibri" w:hAnsi="Times New Roman" w:cs="Times New Roman"/>
          <w:i/>
          <w:sz w:val="28"/>
          <w:szCs w:val="28"/>
        </w:rPr>
        <w:t>English</w:t>
      </w:r>
      <w:proofErr w:type="spellEnd"/>
      <w:r w:rsidRPr="00890ED2">
        <w:rPr>
          <w:rFonts w:ascii="Times New Roman" w:eastAsia="Calibri" w:hAnsi="Times New Roman" w:cs="Times New Roman"/>
          <w:i/>
          <w:sz w:val="28"/>
          <w:szCs w:val="28"/>
        </w:rPr>
        <w:t>):</w:t>
      </w:r>
    </w:p>
    <w:p w:rsidR="00564CF3" w:rsidRPr="00564CF3" w:rsidRDefault="00564CF3" w:rsidP="00564CF3">
      <w:pPr>
        <w:ind w:firstLine="0"/>
        <w:jc w:val="center"/>
        <w:rPr>
          <w:rFonts w:ascii="Times New Roman" w:eastAsia="Calibri" w:hAnsi="Times New Roman" w:cs="Times New Roman"/>
          <w:b/>
          <w:sz w:val="28"/>
          <w:szCs w:val="28"/>
        </w:rPr>
      </w:pPr>
      <w:r w:rsidRPr="00564CF3">
        <w:rPr>
          <w:rFonts w:ascii="Times New Roman" w:eastAsia="Calibri" w:hAnsi="Times New Roman" w:cs="Times New Roman"/>
          <w:b/>
          <w:sz w:val="28"/>
          <w:szCs w:val="28"/>
        </w:rPr>
        <w:t>ECONOMIC SCIENCES</w:t>
      </w:r>
    </w:p>
    <w:p w:rsidR="00890ED2" w:rsidRDefault="00564CF3" w:rsidP="00564CF3">
      <w:pPr>
        <w:ind w:firstLine="0"/>
        <w:jc w:val="right"/>
        <w:rPr>
          <w:rFonts w:ascii="Times New Roman" w:eastAsia="Calibri" w:hAnsi="Times New Roman" w:cs="Times New Roman"/>
          <w:sz w:val="28"/>
          <w:szCs w:val="28"/>
        </w:rPr>
      </w:pPr>
      <w:r w:rsidRPr="00564CF3">
        <w:rPr>
          <w:rFonts w:ascii="Times New Roman" w:eastAsia="Calibri" w:hAnsi="Times New Roman" w:cs="Times New Roman"/>
          <w:b/>
          <w:sz w:val="28"/>
          <w:szCs w:val="28"/>
        </w:rPr>
        <w:t>A</w:t>
      </w:r>
      <w:r w:rsidR="00890ED2" w:rsidRPr="00564CF3">
        <w:rPr>
          <w:rFonts w:ascii="Times New Roman" w:eastAsia="Calibri" w:hAnsi="Times New Roman" w:cs="Times New Roman"/>
          <w:b/>
          <w:sz w:val="28"/>
          <w:szCs w:val="28"/>
          <w:lang w:val="en-US"/>
        </w:rPr>
        <w:t>T</w:t>
      </w:r>
      <w:r w:rsidR="00890ED2" w:rsidRPr="00564CF3">
        <w:rPr>
          <w:rFonts w:ascii="Times New Roman" w:eastAsia="Calibri" w:hAnsi="Times New Roman" w:cs="Times New Roman"/>
          <w:b/>
          <w:sz w:val="28"/>
          <w:szCs w:val="28"/>
        </w:rPr>
        <w:t>ANASIEV</w:t>
      </w:r>
      <w:r w:rsidR="00890ED2" w:rsidRPr="00890ED2">
        <w:rPr>
          <w:rFonts w:ascii="Times New Roman" w:eastAsia="Calibri" w:hAnsi="Times New Roman" w:cs="Times New Roman"/>
          <w:b/>
          <w:sz w:val="28"/>
          <w:szCs w:val="28"/>
          <w:lang w:val="en-US"/>
        </w:rPr>
        <w:t xml:space="preserve"> </w:t>
      </w:r>
      <w:r w:rsidR="00890ED2" w:rsidRPr="00564CF3">
        <w:rPr>
          <w:rFonts w:ascii="Times New Roman" w:eastAsia="Calibri" w:hAnsi="Times New Roman" w:cs="Times New Roman"/>
          <w:b/>
          <w:sz w:val="28"/>
          <w:szCs w:val="28"/>
          <w:lang w:val="en-US"/>
        </w:rPr>
        <w:t>Oleg</w:t>
      </w:r>
      <w:r w:rsidRPr="00564CF3">
        <w:rPr>
          <w:rFonts w:ascii="Times New Roman" w:eastAsia="Calibri" w:hAnsi="Times New Roman" w:cs="Times New Roman"/>
          <w:sz w:val="28"/>
          <w:szCs w:val="28"/>
          <w:lang w:val="en-US"/>
        </w:rPr>
        <w:t>,</w:t>
      </w:r>
      <w:r w:rsidRPr="00564CF3">
        <w:rPr>
          <w:rFonts w:ascii="Times New Roman" w:eastAsia="Calibri" w:hAnsi="Times New Roman" w:cs="Times New Roman"/>
          <w:sz w:val="28"/>
          <w:szCs w:val="28"/>
        </w:rPr>
        <w:t xml:space="preserve"> </w:t>
      </w:r>
    </w:p>
    <w:p w:rsidR="00564CF3" w:rsidRPr="00564CF3" w:rsidRDefault="00564CF3" w:rsidP="00564CF3">
      <w:pPr>
        <w:ind w:firstLine="0"/>
        <w:jc w:val="right"/>
        <w:rPr>
          <w:rFonts w:ascii="Times New Roman" w:eastAsia="Calibri" w:hAnsi="Times New Roman" w:cs="Times New Roman"/>
          <w:sz w:val="28"/>
          <w:szCs w:val="28"/>
          <w:lang w:val="en-US"/>
        </w:rPr>
      </w:pPr>
      <w:proofErr w:type="spellStart"/>
      <w:r w:rsidRPr="00564CF3">
        <w:rPr>
          <w:rFonts w:ascii="Times New Roman" w:eastAsia="Calibri" w:hAnsi="Times New Roman" w:cs="Times New Roman"/>
          <w:sz w:val="28"/>
          <w:szCs w:val="28"/>
        </w:rPr>
        <w:t>Ph</w:t>
      </w:r>
      <w:proofErr w:type="spellEnd"/>
      <w:r w:rsidRPr="00564CF3">
        <w:rPr>
          <w:rFonts w:ascii="Times New Roman" w:eastAsia="Calibri" w:hAnsi="Times New Roman" w:cs="Times New Roman"/>
          <w:sz w:val="28"/>
          <w:szCs w:val="28"/>
        </w:rPr>
        <w:t>.</w:t>
      </w:r>
      <w:r w:rsidR="00890ED2">
        <w:rPr>
          <w:rFonts w:ascii="Times New Roman" w:eastAsia="Calibri" w:hAnsi="Times New Roman" w:cs="Times New Roman"/>
          <w:sz w:val="28"/>
          <w:szCs w:val="28"/>
          <w:lang w:val="en-US"/>
        </w:rPr>
        <w:t xml:space="preserve"> </w:t>
      </w:r>
      <w:r w:rsidRPr="00564CF3">
        <w:rPr>
          <w:rFonts w:ascii="Times New Roman" w:eastAsia="Calibri" w:hAnsi="Times New Roman" w:cs="Times New Roman"/>
          <w:sz w:val="28"/>
          <w:szCs w:val="28"/>
        </w:rPr>
        <w:t>D.</w:t>
      </w:r>
      <w:r w:rsidR="00890ED2">
        <w:rPr>
          <w:rFonts w:ascii="Times New Roman" w:eastAsia="Calibri" w:hAnsi="Times New Roman" w:cs="Times New Roman"/>
          <w:sz w:val="28"/>
          <w:szCs w:val="28"/>
          <w:lang w:val="en-US"/>
        </w:rPr>
        <w:t xml:space="preserve"> (</w:t>
      </w:r>
      <w:r w:rsidR="00890ED2" w:rsidRPr="00890ED2">
        <w:rPr>
          <w:rFonts w:ascii="Times New Roman" w:eastAsia="Calibri" w:hAnsi="Times New Roman" w:cs="Times New Roman"/>
          <w:sz w:val="28"/>
          <w:szCs w:val="28"/>
          <w:lang w:val="en-US"/>
        </w:rPr>
        <w:t>History</w:t>
      </w:r>
      <w:r w:rsidR="00890ED2">
        <w:rPr>
          <w:rFonts w:ascii="Times New Roman" w:eastAsia="Calibri" w:hAnsi="Times New Roman" w:cs="Times New Roman"/>
          <w:sz w:val="28"/>
          <w:szCs w:val="28"/>
          <w:lang w:val="en-US"/>
        </w:rPr>
        <w:t>)</w:t>
      </w:r>
      <w:r w:rsidRPr="00564CF3">
        <w:rPr>
          <w:rFonts w:ascii="Times New Roman" w:eastAsia="Calibri" w:hAnsi="Times New Roman" w:cs="Times New Roman"/>
          <w:sz w:val="28"/>
          <w:szCs w:val="28"/>
          <w:lang w:val="en-US"/>
        </w:rPr>
        <w:t>,</w:t>
      </w:r>
      <w:r w:rsidRPr="00564CF3">
        <w:rPr>
          <w:rFonts w:ascii="Times New Roman" w:eastAsia="Calibri" w:hAnsi="Times New Roman" w:cs="Times New Roman"/>
          <w:sz w:val="28"/>
          <w:szCs w:val="28"/>
        </w:rPr>
        <w:t xml:space="preserve"> </w:t>
      </w:r>
      <w:proofErr w:type="spellStart"/>
      <w:r w:rsidRPr="00564CF3">
        <w:rPr>
          <w:rFonts w:ascii="Times New Roman" w:eastAsia="Calibri" w:hAnsi="Times New Roman" w:cs="Times New Roman"/>
          <w:sz w:val="28"/>
          <w:szCs w:val="28"/>
        </w:rPr>
        <w:t>Associate</w:t>
      </w:r>
      <w:proofErr w:type="spellEnd"/>
      <w:r w:rsidRPr="00564CF3">
        <w:rPr>
          <w:rFonts w:ascii="Times New Roman" w:eastAsia="Calibri" w:hAnsi="Times New Roman" w:cs="Times New Roman"/>
          <w:sz w:val="28"/>
          <w:szCs w:val="28"/>
        </w:rPr>
        <w:t xml:space="preserve"> </w:t>
      </w:r>
      <w:proofErr w:type="spellStart"/>
      <w:r w:rsidRPr="00564CF3">
        <w:rPr>
          <w:rFonts w:ascii="Times New Roman" w:eastAsia="Calibri" w:hAnsi="Times New Roman" w:cs="Times New Roman"/>
          <w:sz w:val="28"/>
          <w:szCs w:val="28"/>
        </w:rPr>
        <w:t>Professor</w:t>
      </w:r>
      <w:proofErr w:type="spellEnd"/>
      <w:r w:rsidRPr="00564CF3">
        <w:rPr>
          <w:rFonts w:ascii="Times New Roman" w:eastAsia="Calibri" w:hAnsi="Times New Roman" w:cs="Times New Roman"/>
          <w:sz w:val="28"/>
          <w:szCs w:val="28"/>
        </w:rPr>
        <w:t>,</w:t>
      </w:r>
    </w:p>
    <w:p w:rsidR="00564CF3" w:rsidRPr="00564CF3" w:rsidRDefault="00564CF3" w:rsidP="00564CF3">
      <w:pPr>
        <w:ind w:firstLine="0"/>
        <w:jc w:val="right"/>
        <w:rPr>
          <w:rFonts w:ascii="Times New Roman" w:eastAsia="Calibri" w:hAnsi="Times New Roman" w:cs="Times New Roman"/>
          <w:sz w:val="28"/>
          <w:szCs w:val="28"/>
          <w:lang w:val="en-US"/>
        </w:rPr>
      </w:pPr>
      <w:proofErr w:type="spellStart"/>
      <w:r w:rsidRPr="00564CF3">
        <w:rPr>
          <w:rFonts w:ascii="Times New Roman" w:eastAsia="Calibri" w:hAnsi="Times New Roman" w:cs="Times New Roman"/>
          <w:sz w:val="28"/>
          <w:szCs w:val="28"/>
        </w:rPr>
        <w:t>Kharkiv</w:t>
      </w:r>
      <w:proofErr w:type="spellEnd"/>
      <w:r w:rsidRPr="00564CF3">
        <w:rPr>
          <w:rFonts w:ascii="Times New Roman" w:eastAsia="Calibri" w:hAnsi="Times New Roman" w:cs="Times New Roman"/>
          <w:sz w:val="28"/>
          <w:szCs w:val="28"/>
        </w:rPr>
        <w:t xml:space="preserve"> </w:t>
      </w:r>
      <w:proofErr w:type="spellStart"/>
      <w:r w:rsidRPr="00564CF3">
        <w:rPr>
          <w:rFonts w:ascii="Times New Roman" w:eastAsia="Calibri" w:hAnsi="Times New Roman" w:cs="Times New Roman"/>
          <w:sz w:val="28"/>
          <w:szCs w:val="28"/>
        </w:rPr>
        <w:t>National</w:t>
      </w:r>
      <w:proofErr w:type="spellEnd"/>
      <w:r w:rsidRPr="00564CF3">
        <w:rPr>
          <w:rFonts w:ascii="Times New Roman" w:eastAsia="Calibri" w:hAnsi="Times New Roman" w:cs="Times New Roman"/>
          <w:sz w:val="28"/>
          <w:szCs w:val="28"/>
        </w:rPr>
        <w:t xml:space="preserve"> </w:t>
      </w:r>
      <w:proofErr w:type="spellStart"/>
      <w:r w:rsidRPr="00564CF3">
        <w:rPr>
          <w:rFonts w:ascii="Times New Roman" w:eastAsia="Calibri" w:hAnsi="Times New Roman" w:cs="Times New Roman"/>
          <w:sz w:val="28"/>
          <w:szCs w:val="28"/>
        </w:rPr>
        <w:t>University</w:t>
      </w:r>
      <w:proofErr w:type="spellEnd"/>
      <w:r w:rsidRPr="00564CF3">
        <w:rPr>
          <w:rFonts w:ascii="Times New Roman" w:eastAsia="Calibri" w:hAnsi="Times New Roman" w:cs="Times New Roman"/>
          <w:sz w:val="28"/>
          <w:szCs w:val="28"/>
        </w:rPr>
        <w:t xml:space="preserve"> </w:t>
      </w:r>
    </w:p>
    <w:p w:rsidR="00564CF3" w:rsidRPr="00890ED2" w:rsidRDefault="00564CF3" w:rsidP="00564CF3">
      <w:pPr>
        <w:ind w:firstLine="0"/>
        <w:jc w:val="right"/>
        <w:rPr>
          <w:rFonts w:ascii="Times New Roman" w:eastAsia="Calibri" w:hAnsi="Times New Roman" w:cs="Times New Roman"/>
          <w:i/>
          <w:sz w:val="24"/>
          <w:szCs w:val="24"/>
          <w:lang w:val="en-US"/>
        </w:rPr>
      </w:pPr>
      <w:r w:rsidRPr="00564CF3">
        <w:rPr>
          <w:rFonts w:ascii="Times New Roman" w:eastAsia="Calibri" w:hAnsi="Times New Roman" w:cs="Times New Roman"/>
          <w:sz w:val="28"/>
          <w:szCs w:val="28"/>
          <w:lang w:val="en-US"/>
        </w:rPr>
        <w:t>ORCID</w:t>
      </w:r>
      <w:r w:rsidR="00890ED2">
        <w:rPr>
          <w:rFonts w:ascii="Times New Roman" w:eastAsia="Calibri" w:hAnsi="Times New Roman" w:cs="Times New Roman"/>
          <w:sz w:val="28"/>
          <w:szCs w:val="28"/>
          <w:lang w:val="en-US"/>
        </w:rPr>
        <w:t xml:space="preserve"> </w:t>
      </w:r>
      <w:r w:rsidRPr="00564CF3">
        <w:rPr>
          <w:rFonts w:ascii="Times New Roman" w:eastAsia="Calibri" w:hAnsi="Times New Roman" w:cs="Times New Roman"/>
          <w:sz w:val="28"/>
          <w:szCs w:val="28"/>
          <w:lang w:val="en-US"/>
        </w:rPr>
        <w:t xml:space="preserve">ID: 0000-0000-0000-0000 </w:t>
      </w:r>
      <w:r w:rsidRPr="00890ED2">
        <w:rPr>
          <w:rFonts w:ascii="Times New Roman" w:eastAsia="Calibri" w:hAnsi="Times New Roman" w:cs="Times New Roman"/>
          <w:i/>
          <w:sz w:val="24"/>
          <w:szCs w:val="24"/>
          <w:lang w:val="en-US"/>
        </w:rPr>
        <w:t>(</w:t>
      </w:r>
      <w:proofErr w:type="spellStart"/>
      <w:r w:rsidRPr="00890ED2">
        <w:rPr>
          <w:rFonts w:ascii="Times New Roman" w:eastAsia="Calibri" w:hAnsi="Times New Roman" w:cs="Times New Roman"/>
          <w:i/>
          <w:sz w:val="24"/>
          <w:szCs w:val="24"/>
          <w:lang w:val="en-US"/>
        </w:rPr>
        <w:t>якщо</w:t>
      </w:r>
      <w:proofErr w:type="spellEnd"/>
      <w:r w:rsidRPr="00890ED2">
        <w:rPr>
          <w:rFonts w:ascii="Times New Roman" w:eastAsia="Calibri" w:hAnsi="Times New Roman" w:cs="Times New Roman"/>
          <w:i/>
          <w:sz w:val="24"/>
          <w:szCs w:val="24"/>
          <w:lang w:val="en-US"/>
        </w:rPr>
        <w:t xml:space="preserve"> є)</w:t>
      </w:r>
    </w:p>
    <w:p w:rsidR="00890ED2" w:rsidRDefault="00890ED2" w:rsidP="00564CF3">
      <w:pPr>
        <w:ind w:firstLine="0"/>
        <w:jc w:val="right"/>
        <w:rPr>
          <w:rFonts w:ascii="Times New Roman" w:eastAsia="Calibri" w:hAnsi="Times New Roman" w:cs="Times New Roman"/>
          <w:b/>
          <w:sz w:val="28"/>
          <w:szCs w:val="28"/>
        </w:rPr>
      </w:pPr>
      <w:r w:rsidRPr="00564CF3">
        <w:rPr>
          <w:rFonts w:ascii="Times New Roman" w:eastAsia="Calibri" w:hAnsi="Times New Roman" w:cs="Times New Roman"/>
          <w:b/>
          <w:sz w:val="28"/>
          <w:szCs w:val="28"/>
          <w:lang w:val="en-US"/>
        </w:rPr>
        <w:t>FL</w:t>
      </w:r>
      <w:r w:rsidRPr="00564CF3">
        <w:rPr>
          <w:rFonts w:ascii="Times New Roman" w:eastAsia="Calibri" w:hAnsi="Times New Roman" w:cs="Times New Roman"/>
          <w:b/>
          <w:sz w:val="28"/>
          <w:szCs w:val="28"/>
        </w:rPr>
        <w:t>AKО</w:t>
      </w:r>
      <w:r w:rsidR="00564CF3" w:rsidRPr="00564CF3">
        <w:rPr>
          <w:rFonts w:ascii="Times New Roman" w:eastAsia="Calibri" w:hAnsi="Times New Roman" w:cs="Times New Roman"/>
          <w:b/>
          <w:sz w:val="28"/>
          <w:szCs w:val="28"/>
        </w:rPr>
        <w:t xml:space="preserve"> </w:t>
      </w:r>
      <w:proofErr w:type="spellStart"/>
      <w:r w:rsidRPr="00564CF3">
        <w:rPr>
          <w:rFonts w:ascii="Times New Roman" w:eastAsia="Calibri" w:hAnsi="Times New Roman" w:cs="Times New Roman"/>
          <w:b/>
          <w:sz w:val="28"/>
          <w:szCs w:val="28"/>
        </w:rPr>
        <w:t>Viktor</w:t>
      </w:r>
      <w:proofErr w:type="spellEnd"/>
      <w:r w:rsidRPr="00564CF3">
        <w:rPr>
          <w:rFonts w:ascii="Times New Roman" w:eastAsia="Calibri" w:hAnsi="Times New Roman" w:cs="Times New Roman"/>
          <w:b/>
          <w:sz w:val="28"/>
          <w:szCs w:val="28"/>
        </w:rPr>
        <w:t>,</w:t>
      </w:r>
    </w:p>
    <w:p w:rsidR="00564CF3" w:rsidRPr="00564CF3" w:rsidRDefault="00564CF3" w:rsidP="00564CF3">
      <w:pPr>
        <w:ind w:firstLine="0"/>
        <w:jc w:val="right"/>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rPr>
        <w:t xml:space="preserve">D. </w:t>
      </w:r>
      <w:proofErr w:type="spellStart"/>
      <w:r w:rsidRPr="00564CF3">
        <w:rPr>
          <w:rFonts w:ascii="Times New Roman" w:eastAsia="Calibri" w:hAnsi="Times New Roman" w:cs="Times New Roman"/>
          <w:sz w:val="28"/>
          <w:szCs w:val="28"/>
        </w:rPr>
        <w:t>Sc</w:t>
      </w:r>
      <w:proofErr w:type="spellEnd"/>
      <w:r w:rsidRPr="00564CF3">
        <w:rPr>
          <w:rFonts w:ascii="Times New Roman" w:eastAsia="Calibri" w:hAnsi="Times New Roman" w:cs="Times New Roman"/>
          <w:sz w:val="28"/>
          <w:szCs w:val="28"/>
        </w:rPr>
        <w:t>.</w:t>
      </w:r>
      <w:r w:rsidR="00890ED2">
        <w:rPr>
          <w:rFonts w:ascii="Times New Roman" w:eastAsia="Calibri" w:hAnsi="Times New Roman" w:cs="Times New Roman"/>
          <w:sz w:val="28"/>
          <w:szCs w:val="28"/>
        </w:rPr>
        <w:t xml:space="preserve"> (</w:t>
      </w:r>
      <w:r w:rsidR="00890ED2">
        <w:rPr>
          <w:rFonts w:ascii="Times New Roman" w:eastAsia="Calibri" w:hAnsi="Times New Roman" w:cs="Times New Roman"/>
          <w:sz w:val="28"/>
          <w:szCs w:val="28"/>
          <w:lang w:val="en-US"/>
        </w:rPr>
        <w:t>History</w:t>
      </w:r>
      <w:r w:rsidR="00890ED2">
        <w:rPr>
          <w:rFonts w:ascii="Times New Roman" w:eastAsia="Calibri" w:hAnsi="Times New Roman" w:cs="Times New Roman"/>
          <w:sz w:val="28"/>
          <w:szCs w:val="28"/>
        </w:rPr>
        <w:t>)</w:t>
      </w:r>
      <w:r w:rsidRPr="00564CF3">
        <w:rPr>
          <w:rFonts w:ascii="Times New Roman" w:eastAsia="Calibri" w:hAnsi="Times New Roman" w:cs="Times New Roman"/>
          <w:sz w:val="28"/>
          <w:szCs w:val="28"/>
        </w:rPr>
        <w:t xml:space="preserve">, </w:t>
      </w:r>
      <w:proofErr w:type="spellStart"/>
      <w:r w:rsidRPr="00564CF3">
        <w:rPr>
          <w:rFonts w:ascii="Times New Roman" w:eastAsia="Calibri" w:hAnsi="Times New Roman" w:cs="Times New Roman"/>
          <w:sz w:val="28"/>
          <w:szCs w:val="28"/>
        </w:rPr>
        <w:t>Professor</w:t>
      </w:r>
      <w:proofErr w:type="spellEnd"/>
      <w:r w:rsidRPr="00564CF3">
        <w:rPr>
          <w:rFonts w:ascii="Times New Roman" w:eastAsia="Calibri" w:hAnsi="Times New Roman" w:cs="Times New Roman"/>
          <w:sz w:val="28"/>
          <w:szCs w:val="28"/>
          <w:lang w:val="en-US"/>
        </w:rPr>
        <w:t>,</w:t>
      </w:r>
    </w:p>
    <w:p w:rsidR="00564CF3" w:rsidRPr="00564CF3" w:rsidRDefault="00564CF3" w:rsidP="00564CF3">
      <w:pPr>
        <w:ind w:firstLine="0"/>
        <w:jc w:val="right"/>
        <w:rPr>
          <w:rFonts w:ascii="Times New Roman" w:eastAsia="Calibri" w:hAnsi="Times New Roman" w:cs="Times New Roman"/>
          <w:sz w:val="28"/>
          <w:szCs w:val="28"/>
          <w:lang w:val="en-US"/>
        </w:rPr>
      </w:pPr>
      <w:proofErr w:type="spellStart"/>
      <w:r w:rsidRPr="00564CF3">
        <w:rPr>
          <w:rFonts w:ascii="Times New Roman" w:eastAsia="Calibri" w:hAnsi="Times New Roman" w:cs="Times New Roman"/>
          <w:sz w:val="28"/>
          <w:szCs w:val="28"/>
          <w:lang w:val="en-US"/>
        </w:rPr>
        <w:t>Kharkiv</w:t>
      </w:r>
      <w:proofErr w:type="spellEnd"/>
      <w:r w:rsidRPr="00564CF3">
        <w:rPr>
          <w:rFonts w:ascii="Times New Roman" w:eastAsia="Calibri" w:hAnsi="Times New Roman" w:cs="Times New Roman"/>
          <w:sz w:val="28"/>
          <w:szCs w:val="28"/>
          <w:lang w:val="en-US"/>
        </w:rPr>
        <w:t xml:space="preserve"> National University</w:t>
      </w:r>
    </w:p>
    <w:p w:rsidR="00564CF3" w:rsidRPr="00890ED2" w:rsidRDefault="00564CF3" w:rsidP="00564CF3">
      <w:pPr>
        <w:ind w:firstLine="0"/>
        <w:jc w:val="right"/>
        <w:rPr>
          <w:rFonts w:ascii="Times New Roman" w:eastAsia="Calibri" w:hAnsi="Times New Roman" w:cs="Times New Roman"/>
          <w:i/>
          <w:sz w:val="24"/>
          <w:szCs w:val="24"/>
          <w:lang w:val="en-US"/>
        </w:rPr>
      </w:pPr>
      <w:r w:rsidRPr="00564CF3">
        <w:rPr>
          <w:rFonts w:ascii="Times New Roman" w:eastAsia="Calibri" w:hAnsi="Times New Roman" w:cs="Times New Roman"/>
          <w:sz w:val="28"/>
          <w:szCs w:val="28"/>
          <w:lang w:val="en-US"/>
        </w:rPr>
        <w:t>ORCID</w:t>
      </w:r>
      <w:r w:rsidR="00890ED2">
        <w:rPr>
          <w:rFonts w:ascii="Times New Roman" w:eastAsia="Calibri" w:hAnsi="Times New Roman" w:cs="Times New Roman"/>
          <w:sz w:val="28"/>
          <w:szCs w:val="28"/>
          <w:lang w:val="en-US"/>
        </w:rPr>
        <w:t xml:space="preserve"> </w:t>
      </w:r>
      <w:r w:rsidRPr="00564CF3">
        <w:rPr>
          <w:rFonts w:ascii="Times New Roman" w:eastAsia="Calibri" w:hAnsi="Times New Roman" w:cs="Times New Roman"/>
          <w:sz w:val="28"/>
          <w:szCs w:val="28"/>
          <w:lang w:val="en-US"/>
        </w:rPr>
        <w:t xml:space="preserve">ID: 0000-0000-0000-0000 </w:t>
      </w:r>
      <w:r w:rsidRPr="00890ED2">
        <w:rPr>
          <w:rFonts w:ascii="Times New Roman" w:eastAsia="Calibri" w:hAnsi="Times New Roman" w:cs="Times New Roman"/>
          <w:i/>
          <w:sz w:val="24"/>
          <w:szCs w:val="24"/>
          <w:lang w:val="en-US"/>
        </w:rPr>
        <w:t>(</w:t>
      </w:r>
      <w:proofErr w:type="spellStart"/>
      <w:r w:rsidRPr="00890ED2">
        <w:rPr>
          <w:rFonts w:ascii="Times New Roman" w:eastAsia="Calibri" w:hAnsi="Times New Roman" w:cs="Times New Roman"/>
          <w:i/>
          <w:sz w:val="24"/>
          <w:szCs w:val="24"/>
          <w:lang w:val="en-US"/>
        </w:rPr>
        <w:t>якщо</w:t>
      </w:r>
      <w:proofErr w:type="spellEnd"/>
      <w:r w:rsidRPr="00890ED2">
        <w:rPr>
          <w:rFonts w:ascii="Times New Roman" w:eastAsia="Calibri" w:hAnsi="Times New Roman" w:cs="Times New Roman"/>
          <w:i/>
          <w:sz w:val="24"/>
          <w:szCs w:val="24"/>
          <w:lang w:val="en-US"/>
        </w:rPr>
        <w:t xml:space="preserve"> є)</w:t>
      </w:r>
    </w:p>
    <w:p w:rsidR="00564CF3" w:rsidRPr="00564CF3" w:rsidRDefault="00564CF3" w:rsidP="00564CF3">
      <w:pPr>
        <w:ind w:firstLine="0"/>
        <w:jc w:val="right"/>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lang w:val="en-US"/>
        </w:rPr>
        <w:t>Ukraine</w:t>
      </w:r>
    </w:p>
    <w:p w:rsidR="00564CF3" w:rsidRPr="00564CF3" w:rsidRDefault="00564CF3" w:rsidP="00564CF3">
      <w:pPr>
        <w:ind w:firstLine="0"/>
        <w:jc w:val="center"/>
        <w:rPr>
          <w:rFonts w:ascii="Times New Roman" w:eastAsia="Calibri" w:hAnsi="Times New Roman" w:cs="Times New Roman"/>
          <w:b/>
          <w:sz w:val="28"/>
          <w:szCs w:val="28"/>
          <w:lang w:val="en-US"/>
        </w:rPr>
      </w:pPr>
      <w:r w:rsidRPr="00564CF3">
        <w:rPr>
          <w:rFonts w:ascii="Times New Roman" w:eastAsia="Calibri" w:hAnsi="Times New Roman" w:cs="Times New Roman"/>
          <w:b/>
          <w:sz w:val="28"/>
          <w:szCs w:val="28"/>
          <w:lang w:val="en-US"/>
        </w:rPr>
        <w:t>ECONOMIC TRENDS OF THE MODERN PUBLISHING INDUSTRY</w:t>
      </w:r>
    </w:p>
    <w:p w:rsidR="00564CF3" w:rsidRPr="00564CF3" w:rsidRDefault="00564CF3" w:rsidP="00564CF3">
      <w:pPr>
        <w:ind w:firstLine="567"/>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lang w:val="en-US"/>
        </w:rPr>
        <w:t>Publishing in any country is an objective component and an inherent part of its functioning. No exception Ukraine, which is experiencing a period of formation of a democratic political culture and radical economic transformation</w:t>
      </w:r>
      <w:r w:rsidRPr="00564CF3">
        <w:rPr>
          <w:rFonts w:ascii="Times New Roman" w:eastAsia="Calibri" w:hAnsi="Times New Roman" w:cs="Times New Roman"/>
          <w:sz w:val="28"/>
          <w:szCs w:val="28"/>
          <w:vertAlign w:val="superscript"/>
          <w:lang w:val="en-US"/>
        </w:rPr>
        <w:footnoteReference w:id="1"/>
      </w:r>
      <w:r w:rsidRPr="00564CF3">
        <w:rPr>
          <w:rFonts w:ascii="Times New Roman" w:eastAsia="Calibri" w:hAnsi="Times New Roman" w:cs="Times New Roman"/>
          <w:sz w:val="28"/>
          <w:szCs w:val="28"/>
          <w:lang w:val="en-US"/>
        </w:rPr>
        <w:t>. These processes affect the evolution of national publishing, which corresponds to the paradigm of political and power relations, political system, society and parade tasks that it implements</w:t>
      </w:r>
      <w:r w:rsidRPr="00564CF3">
        <w:rPr>
          <w:rFonts w:ascii="Times New Roman" w:eastAsia="Calibri" w:hAnsi="Times New Roman" w:cs="Times New Roman"/>
          <w:sz w:val="28"/>
          <w:szCs w:val="28"/>
          <w:vertAlign w:val="superscript"/>
          <w:lang w:val="en-US"/>
        </w:rPr>
        <w:footnoteReference w:id="2"/>
      </w:r>
      <w:r w:rsidRPr="00564CF3">
        <w:rPr>
          <w:rFonts w:ascii="Times New Roman" w:eastAsia="Calibri" w:hAnsi="Times New Roman" w:cs="Times New Roman"/>
          <w:sz w:val="28"/>
          <w:szCs w:val="28"/>
          <w:lang w:val="en-US"/>
        </w:rPr>
        <w:t>. Transition to modern information system and a new system of social relations is complex and controversial</w:t>
      </w:r>
      <w:r w:rsidRPr="00564CF3">
        <w:rPr>
          <w:rFonts w:ascii="Times New Roman" w:eastAsia="Calibri" w:hAnsi="Times New Roman" w:cs="Times New Roman"/>
          <w:sz w:val="28"/>
          <w:szCs w:val="28"/>
          <w:vertAlign w:val="superscript"/>
          <w:lang w:val="en-US"/>
        </w:rPr>
        <w:footnoteReference w:id="3"/>
      </w:r>
      <w:r w:rsidRPr="00564CF3">
        <w:rPr>
          <w:rFonts w:ascii="Times New Roman" w:eastAsia="Calibri" w:hAnsi="Times New Roman" w:cs="Times New Roman"/>
          <w:sz w:val="28"/>
          <w:szCs w:val="28"/>
          <w:lang w:val="en-US"/>
        </w:rPr>
        <w:t xml:space="preserve">. Not so easy to abandon ideological accretions recent past and keep their basic principles in the struggle for the creation of a new democratic political culture. </w:t>
      </w:r>
    </w:p>
    <w:p w:rsidR="00564CF3" w:rsidRPr="00564CF3" w:rsidRDefault="00564CF3" w:rsidP="00564CF3">
      <w:pPr>
        <w:ind w:firstLine="567"/>
        <w:rPr>
          <w:rFonts w:ascii="Times New Roman" w:eastAsia="Calibri" w:hAnsi="Times New Roman" w:cs="Times New Roman"/>
          <w:sz w:val="28"/>
          <w:szCs w:val="28"/>
        </w:rPr>
      </w:pPr>
      <w:r w:rsidRPr="00564CF3">
        <w:rPr>
          <w:rFonts w:ascii="Times New Roman" w:eastAsia="Times New Roman" w:hAnsi="Times New Roman" w:cs="Times New Roman"/>
          <w:sz w:val="28"/>
          <w:szCs w:val="28"/>
          <w:lang w:val="en"/>
        </w:rPr>
        <w:t>They do not exclude the possibility of the inclusion in plans of the publication of literature for this category of society, however only under appropriate conditions. As it is seen in the Table 1, these conditions are practically identical in publishing houses with an experience in the studied field and without it.</w:t>
      </w:r>
    </w:p>
    <w:p w:rsidR="00564CF3" w:rsidRPr="00564CF3" w:rsidRDefault="00564CF3" w:rsidP="00564CF3">
      <w:pPr>
        <w:ind w:firstLine="567"/>
        <w:jc w:val="center"/>
        <w:rPr>
          <w:rFonts w:ascii="Times New Roman" w:eastAsia="Times New Roman" w:hAnsi="Times New Roman" w:cs="Times New Roman"/>
          <w:b/>
          <w:sz w:val="28"/>
          <w:szCs w:val="28"/>
          <w:lang w:val="en"/>
        </w:rPr>
      </w:pPr>
      <w:proofErr w:type="gramStart"/>
      <w:r w:rsidRPr="00564CF3">
        <w:rPr>
          <w:rFonts w:ascii="Times New Roman" w:eastAsia="Times New Roman" w:hAnsi="Times New Roman" w:cs="Times New Roman"/>
          <w:b/>
          <w:sz w:val="28"/>
          <w:szCs w:val="28"/>
          <w:lang w:val="en"/>
        </w:rPr>
        <w:t>Table 1.</w:t>
      </w:r>
      <w:proofErr w:type="gramEnd"/>
      <w:r w:rsidRPr="00564CF3">
        <w:rPr>
          <w:rFonts w:ascii="Times New Roman" w:eastAsia="Times New Roman" w:hAnsi="Times New Roman" w:cs="Times New Roman"/>
          <w:b/>
          <w:sz w:val="28"/>
          <w:szCs w:val="28"/>
          <w:lang w:val="en"/>
        </w:rPr>
        <w:t xml:space="preserve"> </w:t>
      </w:r>
      <w:proofErr w:type="gramStart"/>
      <w:r w:rsidRPr="00564CF3">
        <w:rPr>
          <w:rFonts w:ascii="Times New Roman" w:eastAsia="Times New Roman" w:hAnsi="Times New Roman" w:cs="Times New Roman"/>
          <w:b/>
          <w:sz w:val="28"/>
          <w:szCs w:val="28"/>
          <w:lang w:val="en"/>
        </w:rPr>
        <w:t>Publishers</w:t>
      </w:r>
      <w:proofErr w:type="gramEnd"/>
      <w:r w:rsidRPr="00564CF3">
        <w:rPr>
          <w:rFonts w:ascii="Times New Roman" w:eastAsia="Times New Roman" w:hAnsi="Times New Roman" w:cs="Times New Roman"/>
          <w:b/>
          <w:sz w:val="28"/>
          <w:szCs w:val="28"/>
          <w:lang w:val="en"/>
        </w:rPr>
        <w:t xml:space="preserve"> motives for inclusive literature</w:t>
      </w:r>
    </w:p>
    <w:p w:rsidR="00564CF3" w:rsidRPr="00564CF3" w:rsidRDefault="00564CF3" w:rsidP="00564CF3">
      <w:pPr>
        <w:ind w:firstLine="567"/>
        <w:jc w:val="right"/>
        <w:rPr>
          <w:rFonts w:ascii="Times New Roman" w:eastAsia="Times New Roman" w:hAnsi="Times New Roman" w:cs="Times New Roman"/>
          <w:sz w:val="18"/>
          <w:szCs w:val="18"/>
          <w:lang w:val="en"/>
        </w:rPr>
      </w:pPr>
      <w:r w:rsidRPr="00564CF3">
        <w:rPr>
          <w:rFonts w:ascii="Times New Roman" w:eastAsia="Times New Roman" w:hAnsi="Times New Roman" w:cs="Times New Roman"/>
          <w:sz w:val="18"/>
          <w:szCs w:val="18"/>
          <w:lang w:val="en"/>
        </w:rPr>
        <w:lastRenderedPageBreak/>
        <w:t>Source: Author’s research.</w:t>
      </w:r>
    </w:p>
    <w:tbl>
      <w:tblPr>
        <w:tblStyle w:val="2"/>
        <w:tblW w:w="9639" w:type="dxa"/>
        <w:tblInd w:w="108" w:type="dxa"/>
        <w:tblLayout w:type="fixed"/>
        <w:tblLook w:val="04A0" w:firstRow="1" w:lastRow="0" w:firstColumn="1" w:lastColumn="0" w:noHBand="0" w:noVBand="1"/>
      </w:tblPr>
      <w:tblGrid>
        <w:gridCol w:w="426"/>
        <w:gridCol w:w="2409"/>
        <w:gridCol w:w="1276"/>
        <w:gridCol w:w="1134"/>
        <w:gridCol w:w="1276"/>
        <w:gridCol w:w="3118"/>
      </w:tblGrid>
      <w:tr w:rsidR="00564CF3" w:rsidRPr="00564CF3" w:rsidTr="00377108">
        <w:tc>
          <w:tcPr>
            <w:tcW w:w="426" w:type="dxa"/>
            <w:vAlign w:val="center"/>
          </w:tcPr>
          <w:p w:rsidR="00564CF3" w:rsidRPr="00564CF3" w:rsidRDefault="00564CF3" w:rsidP="00564CF3">
            <w:pPr>
              <w:ind w:left="-721" w:right="-108" w:firstLine="0"/>
              <w:jc w:val="center"/>
              <w:rPr>
                <w:rFonts w:ascii="Times New Roman" w:eastAsia="Calibri" w:hAnsi="Times New Roman"/>
                <w:sz w:val="24"/>
                <w:szCs w:val="24"/>
                <w:lang w:val="en-US"/>
              </w:rPr>
            </w:pPr>
            <w:r w:rsidRPr="00564CF3">
              <w:rPr>
                <w:rFonts w:ascii="Times New Roman" w:eastAsia="Calibri" w:hAnsi="Times New Roman"/>
                <w:sz w:val="24"/>
                <w:szCs w:val="24"/>
                <w:lang w:val="en-US"/>
              </w:rPr>
              <w:t>No.</w:t>
            </w:r>
          </w:p>
        </w:tc>
        <w:tc>
          <w:tcPr>
            <w:tcW w:w="2409" w:type="dxa"/>
            <w:vAlign w:val="center"/>
          </w:tcPr>
          <w:p w:rsidR="00564CF3" w:rsidRPr="00564CF3" w:rsidRDefault="00564CF3" w:rsidP="00564CF3">
            <w:pPr>
              <w:ind w:firstLine="0"/>
              <w:jc w:val="center"/>
              <w:rPr>
                <w:rFonts w:ascii="Times New Roman" w:eastAsia="Calibri" w:hAnsi="Times New Roman"/>
                <w:sz w:val="24"/>
                <w:szCs w:val="24"/>
              </w:rPr>
            </w:pPr>
            <w:proofErr w:type="spellStart"/>
            <w:r w:rsidRPr="00564CF3">
              <w:rPr>
                <w:rFonts w:ascii="Times New Roman" w:eastAsia="Calibri" w:hAnsi="Times New Roman"/>
                <w:sz w:val="24"/>
                <w:szCs w:val="24"/>
              </w:rPr>
              <w:t>Publishers</w:t>
            </w:r>
            <w:proofErr w:type="spellEnd"/>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Library</w:t>
            </w:r>
          </w:p>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Demand</w:t>
            </w:r>
          </w:p>
        </w:tc>
        <w:tc>
          <w:tcPr>
            <w:tcW w:w="1134"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State</w:t>
            </w:r>
          </w:p>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Support</w:t>
            </w:r>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Grant</w:t>
            </w:r>
          </w:p>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Program</w:t>
            </w:r>
          </w:p>
        </w:tc>
        <w:tc>
          <w:tcPr>
            <w:tcW w:w="3118" w:type="dxa"/>
            <w:vAlign w:val="center"/>
          </w:tcPr>
          <w:p w:rsidR="00564CF3" w:rsidRPr="00564CF3" w:rsidRDefault="00564CF3" w:rsidP="00564CF3">
            <w:pPr>
              <w:ind w:firstLine="0"/>
              <w:jc w:val="center"/>
              <w:rPr>
                <w:rFonts w:ascii="Times New Roman" w:eastAsia="Times New Roman" w:hAnsi="Times New Roman"/>
                <w:sz w:val="24"/>
                <w:szCs w:val="24"/>
                <w:lang w:val="en"/>
              </w:rPr>
            </w:pPr>
            <w:r w:rsidRPr="00564CF3">
              <w:rPr>
                <w:rFonts w:ascii="Times New Roman" w:eastAsia="Times New Roman" w:hAnsi="Times New Roman"/>
                <w:sz w:val="24"/>
                <w:szCs w:val="24"/>
                <w:lang w:val="en"/>
              </w:rPr>
              <w:t>The presence of an interesting</w:t>
            </w:r>
          </w:p>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author manuscript</w:t>
            </w:r>
          </w:p>
        </w:tc>
      </w:tr>
      <w:tr w:rsidR="00564CF3" w:rsidRPr="00564CF3" w:rsidTr="00377108">
        <w:tc>
          <w:tcPr>
            <w:tcW w:w="426" w:type="dxa"/>
            <w:vAlign w:val="center"/>
          </w:tcPr>
          <w:p w:rsidR="00564CF3" w:rsidRPr="00564CF3" w:rsidRDefault="00564CF3" w:rsidP="00564CF3">
            <w:pPr>
              <w:ind w:left="-534" w:right="-108" w:firstLine="0"/>
              <w:jc w:val="center"/>
              <w:rPr>
                <w:rFonts w:ascii="Times New Roman" w:eastAsia="Times New Roman" w:hAnsi="Times New Roman"/>
                <w:sz w:val="24"/>
                <w:szCs w:val="24"/>
                <w:lang w:val="en"/>
              </w:rPr>
            </w:pPr>
            <w:r w:rsidRPr="00564CF3">
              <w:rPr>
                <w:rFonts w:ascii="Times New Roman" w:eastAsia="Times New Roman" w:hAnsi="Times New Roman"/>
                <w:sz w:val="24"/>
                <w:szCs w:val="24"/>
                <w:lang w:val="en"/>
              </w:rPr>
              <w:t>1</w:t>
            </w:r>
          </w:p>
        </w:tc>
        <w:tc>
          <w:tcPr>
            <w:tcW w:w="2409"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With an experience</w:t>
            </w:r>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44%</w:t>
            </w:r>
          </w:p>
        </w:tc>
        <w:tc>
          <w:tcPr>
            <w:tcW w:w="1134"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78%</w:t>
            </w:r>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67%</w:t>
            </w:r>
          </w:p>
        </w:tc>
        <w:tc>
          <w:tcPr>
            <w:tcW w:w="3118"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33%</w:t>
            </w:r>
          </w:p>
        </w:tc>
      </w:tr>
      <w:tr w:rsidR="00564CF3" w:rsidRPr="00564CF3" w:rsidTr="00377108">
        <w:tc>
          <w:tcPr>
            <w:tcW w:w="426" w:type="dxa"/>
            <w:vAlign w:val="center"/>
          </w:tcPr>
          <w:p w:rsidR="00564CF3" w:rsidRPr="00564CF3" w:rsidRDefault="00564CF3" w:rsidP="00564CF3">
            <w:pPr>
              <w:ind w:left="-534" w:right="-108" w:firstLine="0"/>
              <w:jc w:val="center"/>
              <w:rPr>
                <w:rFonts w:ascii="Times New Roman" w:eastAsia="Times New Roman" w:hAnsi="Times New Roman"/>
                <w:sz w:val="24"/>
                <w:szCs w:val="24"/>
                <w:lang w:val="en"/>
              </w:rPr>
            </w:pPr>
            <w:r w:rsidRPr="00564CF3">
              <w:rPr>
                <w:rFonts w:ascii="Times New Roman" w:eastAsia="Times New Roman" w:hAnsi="Times New Roman"/>
                <w:sz w:val="24"/>
                <w:szCs w:val="24"/>
                <w:lang w:val="en"/>
              </w:rPr>
              <w:t>2</w:t>
            </w:r>
          </w:p>
        </w:tc>
        <w:tc>
          <w:tcPr>
            <w:tcW w:w="2409"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Without an experience</w:t>
            </w:r>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40%</w:t>
            </w:r>
          </w:p>
        </w:tc>
        <w:tc>
          <w:tcPr>
            <w:tcW w:w="1134"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60%</w:t>
            </w:r>
          </w:p>
        </w:tc>
        <w:tc>
          <w:tcPr>
            <w:tcW w:w="1276"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52%</w:t>
            </w:r>
          </w:p>
        </w:tc>
        <w:tc>
          <w:tcPr>
            <w:tcW w:w="3118" w:type="dxa"/>
            <w:vAlign w:val="center"/>
          </w:tcPr>
          <w:p w:rsidR="00564CF3" w:rsidRPr="00564CF3" w:rsidRDefault="00564CF3" w:rsidP="00564CF3">
            <w:pPr>
              <w:ind w:firstLine="0"/>
              <w:jc w:val="center"/>
              <w:rPr>
                <w:rFonts w:ascii="Times New Roman" w:eastAsia="Calibri" w:hAnsi="Times New Roman"/>
                <w:sz w:val="24"/>
                <w:szCs w:val="24"/>
              </w:rPr>
            </w:pPr>
            <w:r w:rsidRPr="00564CF3">
              <w:rPr>
                <w:rFonts w:ascii="Times New Roman" w:eastAsia="Times New Roman" w:hAnsi="Times New Roman"/>
                <w:sz w:val="24"/>
                <w:szCs w:val="24"/>
                <w:lang w:val="en"/>
              </w:rPr>
              <w:t>40%</w:t>
            </w:r>
          </w:p>
        </w:tc>
      </w:tr>
    </w:tbl>
    <w:p w:rsidR="00564CF3" w:rsidRPr="00564CF3" w:rsidRDefault="00564CF3" w:rsidP="00564CF3">
      <w:pPr>
        <w:ind w:firstLine="708"/>
        <w:rPr>
          <w:rFonts w:ascii="Times New Roman" w:eastAsia="Calibri" w:hAnsi="Times New Roman" w:cs="Times New Roman"/>
          <w:sz w:val="28"/>
          <w:szCs w:val="28"/>
        </w:rPr>
      </w:pPr>
    </w:p>
    <w:p w:rsidR="00564CF3" w:rsidRPr="00564CF3" w:rsidRDefault="00564CF3" w:rsidP="00564CF3">
      <w:pPr>
        <w:ind w:firstLine="567"/>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lang w:val="en-US"/>
        </w:rPr>
        <w:t xml:space="preserve">The main </w:t>
      </w:r>
      <w:proofErr w:type="gramStart"/>
      <w:r w:rsidRPr="00564CF3">
        <w:rPr>
          <w:rFonts w:ascii="Times New Roman" w:eastAsia="Calibri" w:hAnsi="Times New Roman" w:cs="Times New Roman"/>
          <w:sz w:val="28"/>
          <w:szCs w:val="28"/>
          <w:lang w:val="en-US"/>
        </w:rPr>
        <w:t>reasons for the absence of inclusive literature in the portfolio of publishers is</w:t>
      </w:r>
      <w:proofErr w:type="gramEnd"/>
      <w:r w:rsidRPr="00564CF3">
        <w:rPr>
          <w:rFonts w:ascii="Times New Roman" w:eastAsia="Calibri" w:hAnsi="Times New Roman" w:cs="Times New Roman"/>
          <w:sz w:val="28"/>
          <w:szCs w:val="28"/>
          <w:lang w:val="en-US"/>
        </w:rPr>
        <w:t xml:space="preserve"> shown in fig. 1.</w:t>
      </w:r>
    </w:p>
    <w:p w:rsidR="00564CF3" w:rsidRPr="00564CF3" w:rsidRDefault="00564CF3" w:rsidP="00564CF3">
      <w:pPr>
        <w:ind w:firstLine="708"/>
        <w:jc w:val="center"/>
        <w:rPr>
          <w:rFonts w:ascii="Times New Roman" w:eastAsia="Calibri" w:hAnsi="Times New Roman" w:cs="Times New Roman"/>
          <w:sz w:val="28"/>
          <w:szCs w:val="28"/>
          <w:lang w:val="en-US"/>
        </w:rPr>
      </w:pPr>
      <w:r w:rsidRPr="00564CF3">
        <w:rPr>
          <w:rFonts w:ascii="Times New Roman" w:eastAsia="Times New Roman" w:hAnsi="Times New Roman" w:cs="Times New Roman"/>
          <w:noProof/>
          <w:sz w:val="24"/>
          <w:szCs w:val="24"/>
          <w:lang w:eastAsia="uk-UA"/>
        </w:rPr>
        <w:drawing>
          <wp:inline distT="0" distB="0" distL="0" distR="0" wp14:anchorId="4CA85085" wp14:editId="7025DE12">
            <wp:extent cx="3421380" cy="2052495"/>
            <wp:effectExtent l="0" t="0" r="7620" b="5080"/>
            <wp:docPr id="3" name="Рисунок 3" descr="C:\1 NTFS\Мои документы\Документы\Статті 202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 NTFS\Мои документы\Документы\Статті 2020\222.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3422089" cy="2052921"/>
                    </a:xfrm>
                    <a:prstGeom prst="rect">
                      <a:avLst/>
                    </a:prstGeom>
                    <a:noFill/>
                    <a:ln>
                      <a:noFill/>
                    </a:ln>
                  </pic:spPr>
                </pic:pic>
              </a:graphicData>
            </a:graphic>
          </wp:inline>
        </w:drawing>
      </w:r>
    </w:p>
    <w:p w:rsidR="00564CF3" w:rsidRPr="00564CF3" w:rsidRDefault="00564CF3" w:rsidP="00564CF3">
      <w:pPr>
        <w:ind w:firstLine="567"/>
        <w:jc w:val="center"/>
        <w:rPr>
          <w:rFonts w:ascii="Times New Roman" w:eastAsia="Times New Roman" w:hAnsi="Times New Roman" w:cs="Times New Roman"/>
          <w:sz w:val="24"/>
          <w:szCs w:val="24"/>
          <w:lang w:val="en"/>
        </w:rPr>
      </w:pPr>
      <w:proofErr w:type="gramStart"/>
      <w:r w:rsidRPr="00564CF3">
        <w:rPr>
          <w:rFonts w:ascii="Times New Roman" w:eastAsia="Times New Roman" w:hAnsi="Times New Roman" w:cs="Times New Roman"/>
          <w:sz w:val="24"/>
          <w:szCs w:val="24"/>
          <w:lang w:val="en"/>
        </w:rPr>
        <w:t>Figure 1.</w:t>
      </w:r>
      <w:proofErr w:type="gramEnd"/>
      <w:r w:rsidRPr="00564CF3">
        <w:rPr>
          <w:rFonts w:ascii="Times New Roman" w:eastAsia="Times New Roman" w:hAnsi="Times New Roman" w:cs="Times New Roman"/>
          <w:sz w:val="24"/>
          <w:szCs w:val="24"/>
          <w:lang w:val="en"/>
        </w:rPr>
        <w:t xml:space="preserve"> Percentage of the inclusive literature in the portfolio of </w:t>
      </w:r>
    </w:p>
    <w:p w:rsidR="00564CF3" w:rsidRPr="00564CF3" w:rsidRDefault="00564CF3" w:rsidP="00564CF3">
      <w:pPr>
        <w:ind w:firstLine="567"/>
        <w:jc w:val="center"/>
        <w:rPr>
          <w:rFonts w:ascii="Times New Roman" w:eastAsia="Times New Roman" w:hAnsi="Times New Roman" w:cs="Times New Roman"/>
          <w:sz w:val="24"/>
          <w:szCs w:val="24"/>
          <w:lang w:val="en"/>
        </w:rPr>
      </w:pPr>
      <w:proofErr w:type="gramStart"/>
      <w:r w:rsidRPr="00564CF3">
        <w:rPr>
          <w:rFonts w:ascii="Times New Roman" w:eastAsia="Times New Roman" w:hAnsi="Times New Roman" w:cs="Times New Roman"/>
          <w:sz w:val="24"/>
          <w:szCs w:val="24"/>
          <w:lang w:val="en"/>
        </w:rPr>
        <w:t>publishers</w:t>
      </w:r>
      <w:proofErr w:type="gramEnd"/>
      <w:r w:rsidRPr="00564CF3">
        <w:rPr>
          <w:rFonts w:ascii="Times New Roman" w:eastAsia="Times New Roman" w:hAnsi="Times New Roman" w:cs="Times New Roman"/>
          <w:sz w:val="24"/>
          <w:szCs w:val="24"/>
          <w:lang w:val="en"/>
        </w:rPr>
        <w:t xml:space="preserve"> and corresponding reasons</w:t>
      </w:r>
    </w:p>
    <w:p w:rsidR="00564CF3" w:rsidRPr="00564CF3" w:rsidRDefault="00564CF3" w:rsidP="00564CF3">
      <w:pPr>
        <w:ind w:firstLine="567"/>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lang w:val="en-US"/>
        </w:rPr>
        <w:t>The study enabled to understand that until 2020 the systematic professional researches on the topic of inclusion in the portfolio of the Ukrainian publishing houses has not been conducted.</w:t>
      </w:r>
    </w:p>
    <w:p w:rsidR="00564CF3" w:rsidRPr="00564CF3" w:rsidRDefault="00564CF3" w:rsidP="00564CF3">
      <w:pPr>
        <w:ind w:firstLine="567"/>
        <w:rPr>
          <w:rFonts w:ascii="Times New Roman" w:eastAsia="Calibri" w:hAnsi="Times New Roman" w:cs="Times New Roman"/>
          <w:sz w:val="28"/>
          <w:szCs w:val="28"/>
          <w:lang w:val="en-US"/>
        </w:rPr>
      </w:pPr>
      <w:r w:rsidRPr="00564CF3">
        <w:rPr>
          <w:rFonts w:ascii="Times New Roman" w:eastAsia="Calibri" w:hAnsi="Times New Roman" w:cs="Times New Roman"/>
          <w:sz w:val="28"/>
          <w:szCs w:val="28"/>
          <w:lang w:val="en-US"/>
        </w:rPr>
        <w:t>These results showed some confusion and unsystematic approach of the professional publish</w:t>
      </w:r>
      <w:bookmarkStart w:id="0" w:name="_GoBack"/>
      <w:bookmarkEnd w:id="0"/>
      <w:r w:rsidRPr="00564CF3">
        <w:rPr>
          <w:rFonts w:ascii="Times New Roman" w:eastAsia="Calibri" w:hAnsi="Times New Roman" w:cs="Times New Roman"/>
          <w:sz w:val="28"/>
          <w:szCs w:val="28"/>
          <w:lang w:val="en-US"/>
        </w:rPr>
        <w:t>ing community to issues of the inclusion, proved feasibility of further development of the inclusive literature as an effective innovative marketing resource, resource, aimed at publishing contemporary works about persons with disabilities, personal diversity and use of available book formats.</w:t>
      </w:r>
    </w:p>
    <w:p w:rsidR="00564CF3" w:rsidRPr="00564CF3" w:rsidRDefault="00564CF3" w:rsidP="00564CF3">
      <w:pPr>
        <w:spacing w:line="240" w:lineRule="auto"/>
        <w:ind w:firstLine="0"/>
        <w:rPr>
          <w:rFonts w:ascii="Times New Roman" w:eastAsia="Times New Roman" w:hAnsi="Times New Roman" w:cs="Times New Roman"/>
          <w:sz w:val="28"/>
          <w:szCs w:val="28"/>
          <w:lang w:val="en-US"/>
        </w:rPr>
      </w:pPr>
    </w:p>
    <w:p w:rsidR="00D40880" w:rsidRPr="00564CF3" w:rsidRDefault="00D40880" w:rsidP="00564CF3">
      <w:pPr>
        <w:ind w:firstLine="567"/>
        <w:rPr>
          <w:lang w:val="en-US"/>
        </w:rPr>
      </w:pPr>
    </w:p>
    <w:sectPr w:rsidR="00D40880" w:rsidRPr="00564CF3" w:rsidSect="0080376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0B" w:rsidRDefault="00A33F0B" w:rsidP="00564CF3">
      <w:pPr>
        <w:spacing w:line="240" w:lineRule="auto"/>
      </w:pPr>
      <w:r>
        <w:separator/>
      </w:r>
    </w:p>
  </w:endnote>
  <w:endnote w:type="continuationSeparator" w:id="0">
    <w:p w:rsidR="00A33F0B" w:rsidRDefault="00A33F0B" w:rsidP="00564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0B" w:rsidRDefault="00A33F0B" w:rsidP="00564CF3">
      <w:pPr>
        <w:spacing w:line="240" w:lineRule="auto"/>
      </w:pPr>
      <w:r>
        <w:separator/>
      </w:r>
    </w:p>
  </w:footnote>
  <w:footnote w:type="continuationSeparator" w:id="0">
    <w:p w:rsidR="00A33F0B" w:rsidRDefault="00A33F0B" w:rsidP="00564CF3">
      <w:pPr>
        <w:spacing w:line="240" w:lineRule="auto"/>
      </w:pPr>
      <w:r>
        <w:continuationSeparator/>
      </w:r>
    </w:p>
  </w:footnote>
  <w:footnote w:id="1">
    <w:p w:rsidR="00564CF3" w:rsidRPr="004D5876" w:rsidRDefault="00564CF3" w:rsidP="00564CF3">
      <w:pPr>
        <w:pStyle w:val="a3"/>
        <w:ind w:firstLine="567"/>
        <w:rPr>
          <w:lang w:val="en-US"/>
        </w:rPr>
      </w:pPr>
      <w:r>
        <w:rPr>
          <w:rStyle w:val="a5"/>
        </w:rPr>
        <w:footnoteRef/>
      </w:r>
      <w:r>
        <w:t xml:space="preserve"> </w:t>
      </w:r>
      <w:proofErr w:type="spellStart"/>
      <w:r w:rsidRPr="004D5876">
        <w:t>The</w:t>
      </w:r>
      <w:proofErr w:type="spellEnd"/>
      <w:r w:rsidRPr="004D5876">
        <w:t xml:space="preserve"> </w:t>
      </w:r>
      <w:proofErr w:type="spellStart"/>
      <w:r w:rsidRPr="004D5876">
        <w:t>Dolly</w:t>
      </w:r>
      <w:proofErr w:type="spellEnd"/>
      <w:r w:rsidRPr="004D5876">
        <w:t xml:space="preserve"> </w:t>
      </w:r>
      <w:proofErr w:type="spellStart"/>
      <w:r w:rsidRPr="004D5876">
        <w:t>Gray</w:t>
      </w:r>
      <w:proofErr w:type="spellEnd"/>
      <w:r w:rsidRPr="004D5876">
        <w:t xml:space="preserve"> </w:t>
      </w:r>
      <w:proofErr w:type="spellStart"/>
      <w:r w:rsidRPr="004D5876">
        <w:t>Children’s</w:t>
      </w:r>
      <w:proofErr w:type="spellEnd"/>
      <w:r w:rsidRPr="004D5876">
        <w:t xml:space="preserve"> </w:t>
      </w:r>
      <w:proofErr w:type="spellStart"/>
      <w:r w:rsidRPr="004D5876">
        <w:t>Literature</w:t>
      </w:r>
      <w:proofErr w:type="spellEnd"/>
      <w:r w:rsidRPr="004D5876">
        <w:t xml:space="preserve"> </w:t>
      </w:r>
      <w:proofErr w:type="spellStart"/>
      <w:r w:rsidRPr="004D5876">
        <w:t>Award</w:t>
      </w:r>
      <w:proofErr w:type="spellEnd"/>
      <w:r w:rsidRPr="004D5876">
        <w:t xml:space="preserve">. </w:t>
      </w:r>
      <w:proofErr w:type="spellStart"/>
      <w:r w:rsidRPr="004D5876">
        <w:t>Information</w:t>
      </w:r>
      <w:proofErr w:type="spellEnd"/>
      <w:r w:rsidRPr="004D5876">
        <w:t xml:space="preserve"> </w:t>
      </w:r>
      <w:proofErr w:type="spellStart"/>
      <w:r w:rsidRPr="004D5876">
        <w:t>and</w:t>
      </w:r>
      <w:proofErr w:type="spellEnd"/>
      <w:r w:rsidRPr="004D5876">
        <w:t xml:space="preserve"> </w:t>
      </w:r>
      <w:proofErr w:type="spellStart"/>
      <w:r w:rsidRPr="004D5876">
        <w:t>Procedures</w:t>
      </w:r>
      <w:proofErr w:type="spellEnd"/>
      <w:r w:rsidRPr="004D5876">
        <w:t xml:space="preserve">. </w:t>
      </w:r>
      <w:proofErr w:type="spellStart"/>
      <w:r w:rsidRPr="004D5876">
        <w:t>Retrieved</w:t>
      </w:r>
      <w:proofErr w:type="spellEnd"/>
      <w:r w:rsidRPr="004D5876">
        <w:t xml:space="preserve"> </w:t>
      </w:r>
      <w:proofErr w:type="spellStart"/>
      <w:r w:rsidRPr="004D5876">
        <w:t>from</w:t>
      </w:r>
      <w:proofErr w:type="spellEnd"/>
      <w:r w:rsidRPr="004D5876">
        <w:t xml:space="preserve">  https://www.dollygrayaward.com</w:t>
      </w:r>
    </w:p>
  </w:footnote>
  <w:footnote w:id="2">
    <w:p w:rsidR="00564CF3" w:rsidRPr="004D5876" w:rsidRDefault="00564CF3" w:rsidP="00564CF3">
      <w:pPr>
        <w:pStyle w:val="a3"/>
        <w:ind w:firstLine="567"/>
        <w:rPr>
          <w:lang w:val="en-US"/>
        </w:rPr>
      </w:pPr>
      <w:r>
        <w:rPr>
          <w:rStyle w:val="a5"/>
        </w:rPr>
        <w:footnoteRef/>
      </w:r>
      <w:r>
        <w:t xml:space="preserve"> </w:t>
      </w:r>
      <w:proofErr w:type="spellStart"/>
      <w:r w:rsidRPr="004D5876">
        <w:t>Meijer</w:t>
      </w:r>
      <w:proofErr w:type="spellEnd"/>
      <w:r w:rsidRPr="004D5876">
        <w:t xml:space="preserve">,  </w:t>
      </w:r>
      <w:proofErr w:type="spellStart"/>
      <w:r w:rsidRPr="004D5876">
        <w:t>Cor</w:t>
      </w:r>
      <w:proofErr w:type="spellEnd"/>
      <w:r w:rsidRPr="004D5876">
        <w:t xml:space="preserve">.  J.  W.,  &amp; </w:t>
      </w:r>
      <w:proofErr w:type="spellStart"/>
      <w:r w:rsidRPr="004D5876">
        <w:t>Watkins</w:t>
      </w:r>
      <w:proofErr w:type="spellEnd"/>
      <w:r w:rsidRPr="004D5876">
        <w:t>,  A. (</w:t>
      </w:r>
      <w:proofErr w:type="spellStart"/>
      <w:r w:rsidRPr="004D5876">
        <w:t>vol</w:t>
      </w:r>
      <w:proofErr w:type="spellEnd"/>
      <w:r w:rsidRPr="004D5876">
        <w:t xml:space="preserve">.  </w:t>
      </w:r>
      <w:proofErr w:type="spellStart"/>
      <w:r w:rsidRPr="004D5876">
        <w:t>eds</w:t>
      </w:r>
      <w:proofErr w:type="spellEnd"/>
      <w:r w:rsidRPr="004D5876">
        <w:t xml:space="preserve">.)  (2016). </w:t>
      </w:r>
      <w:proofErr w:type="spellStart"/>
      <w:r w:rsidRPr="004D5876">
        <w:t>Implementing</w:t>
      </w:r>
      <w:proofErr w:type="spellEnd"/>
      <w:r w:rsidRPr="004D5876">
        <w:t xml:space="preserve">  </w:t>
      </w:r>
      <w:proofErr w:type="spellStart"/>
      <w:r w:rsidRPr="004D5876">
        <w:t>Inclusive</w:t>
      </w:r>
      <w:proofErr w:type="spellEnd"/>
      <w:r w:rsidRPr="004D5876">
        <w:t xml:space="preserve">  </w:t>
      </w:r>
      <w:proofErr w:type="spellStart"/>
      <w:r w:rsidRPr="004D5876">
        <w:t>Education</w:t>
      </w:r>
      <w:proofErr w:type="spellEnd"/>
      <w:r w:rsidRPr="004D5876">
        <w:t xml:space="preserve">: </w:t>
      </w:r>
      <w:proofErr w:type="spellStart"/>
      <w:r w:rsidRPr="004D5876">
        <w:t>Issues</w:t>
      </w:r>
      <w:proofErr w:type="spellEnd"/>
      <w:r w:rsidRPr="004D5876">
        <w:t xml:space="preserve">  </w:t>
      </w:r>
      <w:proofErr w:type="spellStart"/>
      <w:r w:rsidRPr="004D5876">
        <w:t>in</w:t>
      </w:r>
      <w:proofErr w:type="spellEnd"/>
      <w:r w:rsidRPr="004D5876">
        <w:t xml:space="preserve">  </w:t>
      </w:r>
      <w:proofErr w:type="spellStart"/>
      <w:r w:rsidRPr="004D5876">
        <w:t>Bridging</w:t>
      </w:r>
      <w:proofErr w:type="spellEnd"/>
      <w:r w:rsidRPr="004D5876">
        <w:t xml:space="preserve">  </w:t>
      </w:r>
      <w:proofErr w:type="spellStart"/>
      <w:r w:rsidRPr="004D5876">
        <w:t>the</w:t>
      </w:r>
      <w:proofErr w:type="spellEnd"/>
      <w:r w:rsidRPr="004D5876">
        <w:t xml:space="preserve">  Policy-Practice  </w:t>
      </w:r>
      <w:proofErr w:type="spellStart"/>
      <w:r w:rsidRPr="004D5876">
        <w:t>Gap</w:t>
      </w:r>
      <w:proofErr w:type="spellEnd"/>
      <w:r w:rsidRPr="004D5876">
        <w:t xml:space="preserve">.  </w:t>
      </w:r>
      <w:proofErr w:type="spellStart"/>
      <w:r w:rsidRPr="004D5876">
        <w:t>In</w:t>
      </w:r>
      <w:proofErr w:type="spellEnd"/>
      <w:r w:rsidRPr="004D5876">
        <w:t xml:space="preserve">  </w:t>
      </w:r>
      <w:proofErr w:type="spellStart"/>
      <w:r w:rsidRPr="004D5876">
        <w:t>Forlin</w:t>
      </w:r>
      <w:proofErr w:type="spellEnd"/>
      <w:r w:rsidRPr="004D5876">
        <w:t>,  C.  (</w:t>
      </w:r>
      <w:proofErr w:type="spellStart"/>
      <w:r w:rsidRPr="004D5876">
        <w:t>series</w:t>
      </w:r>
      <w:proofErr w:type="spellEnd"/>
      <w:r w:rsidRPr="004D5876">
        <w:t xml:space="preserve">  </w:t>
      </w:r>
      <w:proofErr w:type="spellStart"/>
      <w:r w:rsidRPr="004D5876">
        <w:t>ed</w:t>
      </w:r>
      <w:proofErr w:type="spellEnd"/>
      <w:r w:rsidRPr="004D5876">
        <w:t xml:space="preserve">.) </w:t>
      </w:r>
      <w:proofErr w:type="spellStart"/>
      <w:r w:rsidRPr="004D5876">
        <w:t>International</w:t>
      </w:r>
      <w:proofErr w:type="spellEnd"/>
      <w:r w:rsidRPr="004D5876">
        <w:t xml:space="preserve"> </w:t>
      </w:r>
      <w:proofErr w:type="spellStart"/>
      <w:r w:rsidRPr="004D5876">
        <w:t>Perspectives</w:t>
      </w:r>
      <w:proofErr w:type="spellEnd"/>
      <w:r w:rsidRPr="004D5876">
        <w:t xml:space="preserve"> </w:t>
      </w:r>
      <w:proofErr w:type="spellStart"/>
      <w:r w:rsidRPr="004D5876">
        <w:t>on</w:t>
      </w:r>
      <w:proofErr w:type="spellEnd"/>
      <w:r w:rsidRPr="004D5876">
        <w:t xml:space="preserve"> </w:t>
      </w:r>
      <w:proofErr w:type="spellStart"/>
      <w:r w:rsidRPr="004D5876">
        <w:t>Inclusive</w:t>
      </w:r>
      <w:proofErr w:type="spellEnd"/>
      <w:r w:rsidRPr="004D5876">
        <w:t xml:space="preserve"> </w:t>
      </w:r>
      <w:proofErr w:type="spellStart"/>
      <w:r w:rsidRPr="004D5876">
        <w:t>Education</w:t>
      </w:r>
      <w:proofErr w:type="spellEnd"/>
      <w:r w:rsidRPr="004D5876">
        <w:t xml:space="preserve">, 8. UK, </w:t>
      </w:r>
      <w:proofErr w:type="spellStart"/>
      <w:r w:rsidRPr="004D5876">
        <w:t>Emerald</w:t>
      </w:r>
      <w:proofErr w:type="spellEnd"/>
      <w:r w:rsidRPr="004D5876">
        <w:t xml:space="preserve"> </w:t>
      </w:r>
      <w:proofErr w:type="spellStart"/>
      <w:r w:rsidRPr="004D5876">
        <w:t>Publishing</w:t>
      </w:r>
      <w:proofErr w:type="spellEnd"/>
      <w:r w:rsidRPr="004D5876">
        <w:t xml:space="preserve"> </w:t>
      </w:r>
      <w:proofErr w:type="spellStart"/>
      <w:r w:rsidRPr="004D5876">
        <w:t>Limited</w:t>
      </w:r>
      <w:proofErr w:type="spellEnd"/>
      <w:r w:rsidRPr="004D5876">
        <w:t>.</w:t>
      </w:r>
    </w:p>
  </w:footnote>
  <w:footnote w:id="3">
    <w:p w:rsidR="00564CF3" w:rsidRPr="004D5876" w:rsidRDefault="00564CF3" w:rsidP="00564CF3">
      <w:pPr>
        <w:pStyle w:val="a3"/>
        <w:ind w:firstLine="567"/>
        <w:rPr>
          <w:lang w:val="en-US"/>
        </w:rPr>
      </w:pPr>
      <w:r>
        <w:rPr>
          <w:rStyle w:val="a5"/>
        </w:rPr>
        <w:footnoteRef/>
      </w:r>
      <w:r>
        <w:t xml:space="preserve"> </w:t>
      </w:r>
      <w:proofErr w:type="spellStart"/>
      <w:r w:rsidRPr="004D5876">
        <w:t>Kirkpatrick</w:t>
      </w:r>
      <w:proofErr w:type="spellEnd"/>
      <w:r w:rsidRPr="004D5876">
        <w:t xml:space="preserve">, В. (2018).  </w:t>
      </w:r>
      <w:proofErr w:type="spellStart"/>
      <w:r w:rsidRPr="004D5876">
        <w:t>Disability</w:t>
      </w:r>
      <w:proofErr w:type="spellEnd"/>
      <w:r w:rsidRPr="004D5876">
        <w:t xml:space="preserve">, </w:t>
      </w:r>
      <w:proofErr w:type="spellStart"/>
      <w:r w:rsidRPr="004D5876">
        <w:t>cultural</w:t>
      </w:r>
      <w:proofErr w:type="spellEnd"/>
      <w:r w:rsidRPr="004D5876">
        <w:t xml:space="preserve"> </w:t>
      </w:r>
      <w:proofErr w:type="spellStart"/>
      <w:r w:rsidRPr="004D5876">
        <w:t>accessibility</w:t>
      </w:r>
      <w:proofErr w:type="spellEnd"/>
      <w:r w:rsidRPr="004D5876">
        <w:t xml:space="preserve">, </w:t>
      </w:r>
      <w:proofErr w:type="spellStart"/>
      <w:r w:rsidRPr="004D5876">
        <w:t>and</w:t>
      </w:r>
      <w:proofErr w:type="spellEnd"/>
      <w:r w:rsidRPr="004D5876">
        <w:t xml:space="preserve"> </w:t>
      </w:r>
      <w:proofErr w:type="spellStart"/>
      <w:r w:rsidRPr="004D5876">
        <w:t>the</w:t>
      </w:r>
      <w:proofErr w:type="spellEnd"/>
      <w:r w:rsidRPr="004D5876">
        <w:t xml:space="preserve"> </w:t>
      </w:r>
      <w:proofErr w:type="spellStart"/>
      <w:r w:rsidRPr="004D5876">
        <w:t>radio</w:t>
      </w:r>
      <w:proofErr w:type="spellEnd"/>
      <w:r w:rsidRPr="004D5876">
        <w:t xml:space="preserve"> </w:t>
      </w:r>
      <w:proofErr w:type="spellStart"/>
      <w:r w:rsidRPr="004D5876">
        <w:t>archive</w:t>
      </w:r>
      <w:proofErr w:type="spellEnd"/>
      <w:r w:rsidRPr="004D5876">
        <w:t xml:space="preserve">. </w:t>
      </w:r>
      <w:proofErr w:type="spellStart"/>
      <w:r w:rsidRPr="004D5876">
        <w:t>New</w:t>
      </w:r>
      <w:proofErr w:type="spellEnd"/>
      <w:r w:rsidRPr="004D5876">
        <w:t xml:space="preserve"> </w:t>
      </w:r>
      <w:proofErr w:type="spellStart"/>
      <w:r w:rsidRPr="004D5876">
        <w:t>Review</w:t>
      </w:r>
      <w:proofErr w:type="spellEnd"/>
      <w:r w:rsidRPr="004D5876">
        <w:t xml:space="preserve"> </w:t>
      </w:r>
      <w:proofErr w:type="spellStart"/>
      <w:r w:rsidRPr="004D5876">
        <w:t>of</w:t>
      </w:r>
      <w:proofErr w:type="spellEnd"/>
      <w:r w:rsidRPr="004D5876">
        <w:t xml:space="preserve"> </w:t>
      </w:r>
      <w:proofErr w:type="spellStart"/>
      <w:r w:rsidRPr="004D5876">
        <w:t>Film</w:t>
      </w:r>
      <w:proofErr w:type="spellEnd"/>
      <w:r w:rsidRPr="004D5876">
        <w:t xml:space="preserve"> </w:t>
      </w:r>
      <w:proofErr w:type="spellStart"/>
      <w:r w:rsidRPr="004D5876">
        <w:t>and</w:t>
      </w:r>
      <w:proofErr w:type="spellEnd"/>
      <w:r w:rsidRPr="004D5876">
        <w:t xml:space="preserve"> </w:t>
      </w:r>
      <w:proofErr w:type="spellStart"/>
      <w:r w:rsidRPr="004D5876">
        <w:t>Television</w:t>
      </w:r>
      <w:proofErr w:type="spellEnd"/>
      <w:r w:rsidRPr="004D5876">
        <w:t xml:space="preserve"> </w:t>
      </w:r>
      <w:proofErr w:type="spellStart"/>
      <w:r w:rsidRPr="004D5876">
        <w:t>Studies</w:t>
      </w:r>
      <w:proofErr w:type="spellEnd"/>
      <w:r w:rsidRPr="004D5876">
        <w:t>, 4(16), 473</w:t>
      </w:r>
      <w:r w:rsidR="00890ED2">
        <w:rPr>
          <w:lang w:val="en-US"/>
        </w:rPr>
        <w:t>–</w:t>
      </w:r>
      <w:r w:rsidRPr="004D5876">
        <w:t xml:space="preserve">480. </w:t>
      </w:r>
      <w:proofErr w:type="spellStart"/>
      <w:r w:rsidRPr="004D5876">
        <w:t>Retrieved</w:t>
      </w:r>
      <w:proofErr w:type="spellEnd"/>
      <w:r w:rsidRPr="004D5876">
        <w:t xml:space="preserve"> </w:t>
      </w:r>
      <w:proofErr w:type="spellStart"/>
      <w:r w:rsidRPr="004D5876">
        <w:t>from</w:t>
      </w:r>
      <w:proofErr w:type="spellEnd"/>
      <w:r w:rsidRPr="004D5876">
        <w:t xml:space="preserve"> https://doi.org/10.1080/-17400309.2018.1524963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F3"/>
    <w:rsid w:val="00012200"/>
    <w:rsid w:val="00564CF3"/>
    <w:rsid w:val="006B004A"/>
    <w:rsid w:val="00890ED2"/>
    <w:rsid w:val="008B4FBD"/>
    <w:rsid w:val="0096187B"/>
    <w:rsid w:val="00A33F0B"/>
    <w:rsid w:val="00BF2AB8"/>
    <w:rsid w:val="00D40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4CF3"/>
    <w:pPr>
      <w:spacing w:line="240" w:lineRule="auto"/>
    </w:pPr>
    <w:rPr>
      <w:sz w:val="20"/>
      <w:szCs w:val="20"/>
    </w:rPr>
  </w:style>
  <w:style w:type="character" w:customStyle="1" w:styleId="a4">
    <w:name w:val="Текст сноски Знак"/>
    <w:basedOn w:val="a0"/>
    <w:link w:val="a3"/>
    <w:uiPriority w:val="99"/>
    <w:semiHidden/>
    <w:rsid w:val="00564CF3"/>
    <w:rPr>
      <w:sz w:val="20"/>
      <w:szCs w:val="20"/>
    </w:rPr>
  </w:style>
  <w:style w:type="character" w:styleId="a5">
    <w:name w:val="footnote reference"/>
    <w:basedOn w:val="a0"/>
    <w:uiPriority w:val="99"/>
    <w:semiHidden/>
    <w:unhideWhenUsed/>
    <w:rsid w:val="00564CF3"/>
    <w:rPr>
      <w:vertAlign w:val="superscript"/>
    </w:rPr>
  </w:style>
  <w:style w:type="table" w:customStyle="1" w:styleId="2">
    <w:name w:val="Сетка таблицы2"/>
    <w:basedOn w:val="a1"/>
    <w:next w:val="a6"/>
    <w:uiPriority w:val="59"/>
    <w:rsid w:val="00564CF3"/>
    <w:pPr>
      <w:spacing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564C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64CF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4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4CF3"/>
    <w:pPr>
      <w:spacing w:line="240" w:lineRule="auto"/>
    </w:pPr>
    <w:rPr>
      <w:sz w:val="20"/>
      <w:szCs w:val="20"/>
    </w:rPr>
  </w:style>
  <w:style w:type="character" w:customStyle="1" w:styleId="a4">
    <w:name w:val="Текст сноски Знак"/>
    <w:basedOn w:val="a0"/>
    <w:link w:val="a3"/>
    <w:uiPriority w:val="99"/>
    <w:semiHidden/>
    <w:rsid w:val="00564CF3"/>
    <w:rPr>
      <w:sz w:val="20"/>
      <w:szCs w:val="20"/>
    </w:rPr>
  </w:style>
  <w:style w:type="character" w:styleId="a5">
    <w:name w:val="footnote reference"/>
    <w:basedOn w:val="a0"/>
    <w:uiPriority w:val="99"/>
    <w:semiHidden/>
    <w:unhideWhenUsed/>
    <w:rsid w:val="00564CF3"/>
    <w:rPr>
      <w:vertAlign w:val="superscript"/>
    </w:rPr>
  </w:style>
  <w:style w:type="table" w:customStyle="1" w:styleId="2">
    <w:name w:val="Сетка таблицы2"/>
    <w:basedOn w:val="a1"/>
    <w:next w:val="a6"/>
    <w:uiPriority w:val="59"/>
    <w:rsid w:val="00564CF3"/>
    <w:pPr>
      <w:spacing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564C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64CF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4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dc:creator>
  <cp:lastModifiedBy>Папа</cp:lastModifiedBy>
  <cp:revision>3</cp:revision>
  <cp:lastPrinted>2020-11-07T10:30:00Z</cp:lastPrinted>
  <dcterms:created xsi:type="dcterms:W3CDTF">2021-01-26T16:03:00Z</dcterms:created>
  <dcterms:modified xsi:type="dcterms:W3CDTF">2021-01-26T16:04:00Z</dcterms:modified>
</cp:coreProperties>
</file>